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4982" w14:textId="77777777" w:rsidR="00026B63" w:rsidRPr="00026B63" w:rsidRDefault="00026B63" w:rsidP="00026B63">
      <w:pPr>
        <w:spacing w:before="120" w:after="120"/>
        <w:rPr>
          <w:rFonts w:ascii="Segoe UI" w:hAnsi="Segoe UI" w:cs="Segoe UI"/>
          <w:sz w:val="20"/>
          <w:szCs w:val="18"/>
        </w:rPr>
      </w:pPr>
      <w:r w:rsidRPr="00026B63">
        <w:rPr>
          <w:rFonts w:ascii="Segoe UI" w:hAnsi="Segoe UI" w:cs="Segoe UI"/>
          <w:sz w:val="20"/>
          <w:szCs w:val="18"/>
        </w:rPr>
        <w:t xml:space="preserve">An understanding of </w:t>
      </w:r>
      <w:r>
        <w:rPr>
          <w:rFonts w:ascii="Segoe UI" w:hAnsi="Segoe UI" w:cs="Segoe UI"/>
          <w:sz w:val="20"/>
          <w:szCs w:val="18"/>
        </w:rPr>
        <w:t xml:space="preserve">your </w:t>
      </w:r>
      <w:r w:rsidRPr="00026B63">
        <w:rPr>
          <w:rFonts w:ascii="Segoe UI" w:hAnsi="Segoe UI" w:cs="Segoe UI"/>
          <w:sz w:val="20"/>
          <w:szCs w:val="18"/>
        </w:rPr>
        <w:t>organi</w:t>
      </w:r>
      <w:r>
        <w:rPr>
          <w:rFonts w:ascii="Segoe UI" w:hAnsi="Segoe UI" w:cs="Segoe UI"/>
          <w:sz w:val="20"/>
          <w:szCs w:val="18"/>
        </w:rPr>
        <w:t>z</w:t>
      </w:r>
      <w:r w:rsidRPr="00026B63">
        <w:rPr>
          <w:rFonts w:ascii="Segoe UI" w:hAnsi="Segoe UI" w:cs="Segoe UI"/>
          <w:sz w:val="20"/>
          <w:szCs w:val="18"/>
        </w:rPr>
        <w:t>ation’s environmental impacts, even at a high level, will help concentrate efforts on where environmental performance can be improved the most.</w:t>
      </w:r>
      <w:r>
        <w:rPr>
          <w:rFonts w:ascii="Segoe UI" w:hAnsi="Segoe UI" w:cs="Segoe UI"/>
          <w:sz w:val="20"/>
          <w:szCs w:val="18"/>
        </w:rPr>
        <w:t xml:space="preserve"> When a</w:t>
      </w:r>
      <w:r w:rsidRPr="00026B63">
        <w:rPr>
          <w:rFonts w:ascii="Segoe UI" w:hAnsi="Segoe UI" w:cs="Segoe UI"/>
          <w:sz w:val="20"/>
          <w:szCs w:val="18"/>
        </w:rPr>
        <w:t>pplying a life cycle perspective</w:t>
      </w:r>
      <w:r>
        <w:rPr>
          <w:rFonts w:ascii="Segoe UI" w:hAnsi="Segoe UI" w:cs="Segoe UI"/>
          <w:sz w:val="20"/>
          <w:szCs w:val="18"/>
        </w:rPr>
        <w:t xml:space="preserve">, the following </w:t>
      </w:r>
      <w:r w:rsidRPr="00026B63">
        <w:rPr>
          <w:rFonts w:ascii="Segoe UI" w:hAnsi="Segoe UI" w:cs="Segoe UI"/>
          <w:sz w:val="20"/>
          <w:szCs w:val="18"/>
        </w:rPr>
        <w:t>examples of activities, aspects, impacts, level of control or influence, risks and opportunities and actions</w:t>
      </w:r>
      <w:r>
        <w:rPr>
          <w:rFonts w:ascii="Segoe UI" w:hAnsi="Segoe UI" w:cs="Segoe UI"/>
          <w:sz w:val="20"/>
          <w:szCs w:val="18"/>
        </w:rPr>
        <w:t xml:space="preserve">; can be used to develop your own </w:t>
      </w:r>
      <w:r w:rsidRPr="00026B63">
        <w:rPr>
          <w:rFonts w:ascii="Segoe UI" w:hAnsi="Segoe UI" w:cs="Segoe UI"/>
          <w:sz w:val="20"/>
          <w:szCs w:val="18"/>
        </w:rPr>
        <w:t>life cycle</w:t>
      </w:r>
      <w:r>
        <w:rPr>
          <w:rFonts w:ascii="Segoe UI" w:hAnsi="Segoe UI" w:cs="Segoe UI"/>
          <w:sz w:val="20"/>
          <w:szCs w:val="18"/>
        </w:rPr>
        <w:t xml:space="preserve"> </w:t>
      </w:r>
      <w:r w:rsidR="008F4A3D">
        <w:rPr>
          <w:rFonts w:ascii="Segoe UI" w:hAnsi="Segoe UI" w:cs="Segoe UI"/>
          <w:sz w:val="20"/>
          <w:szCs w:val="18"/>
        </w:rPr>
        <w:t>analysis</w:t>
      </w:r>
      <w:r>
        <w:rPr>
          <w:rFonts w:ascii="Segoe UI" w:hAnsi="Segoe UI" w:cs="Segoe UI"/>
          <w:sz w:val="20"/>
          <w:szCs w:val="18"/>
        </w:rPr>
        <w:t>.</w:t>
      </w:r>
    </w:p>
    <w:tbl>
      <w:tblPr>
        <w:tblW w:w="1445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1883"/>
        <w:gridCol w:w="1883"/>
        <w:gridCol w:w="1883"/>
        <w:gridCol w:w="1884"/>
        <w:gridCol w:w="1883"/>
        <w:gridCol w:w="1883"/>
        <w:gridCol w:w="1884"/>
      </w:tblGrid>
      <w:tr w:rsidR="001A053A" w:rsidRPr="00736389" w14:paraId="44E15D6F" w14:textId="77777777" w:rsidTr="00966722">
        <w:trPr>
          <w:cantSplit/>
          <w:trHeight w:val="503"/>
          <w:tblHeader/>
        </w:trPr>
        <w:tc>
          <w:tcPr>
            <w:tcW w:w="1276" w:type="dxa"/>
            <w:shd w:val="clear" w:color="auto" w:fill="1F497D" w:themeFill="text2"/>
            <w:vAlign w:val="center"/>
          </w:tcPr>
          <w:p w14:paraId="701CDCE9" w14:textId="77777777" w:rsidR="001A053A" w:rsidRPr="00926FA5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Life-Cycle Stage</w:t>
            </w:r>
          </w:p>
        </w:tc>
        <w:tc>
          <w:tcPr>
            <w:tcW w:w="1883" w:type="dxa"/>
            <w:shd w:val="clear" w:color="auto" w:fill="1F497D" w:themeFill="text2"/>
            <w:vAlign w:val="center"/>
          </w:tcPr>
          <w:p w14:paraId="1E53CAF0" w14:textId="77777777" w:rsidR="001A053A" w:rsidRPr="00926FA5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1883" w:type="dxa"/>
            <w:shd w:val="clear" w:color="auto" w:fill="1F497D" w:themeFill="text2"/>
            <w:vAlign w:val="center"/>
          </w:tcPr>
          <w:p w14:paraId="0F9D0912" w14:textId="77777777" w:rsidR="001A053A" w:rsidRPr="00926FA5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Aspects</w:t>
            </w:r>
          </w:p>
        </w:tc>
        <w:tc>
          <w:tcPr>
            <w:tcW w:w="1883" w:type="dxa"/>
            <w:shd w:val="clear" w:color="auto" w:fill="1F497D" w:themeFill="text2"/>
            <w:vAlign w:val="center"/>
          </w:tcPr>
          <w:p w14:paraId="1671ADA4" w14:textId="77777777" w:rsidR="001A053A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Impacts</w:t>
            </w:r>
          </w:p>
        </w:tc>
        <w:tc>
          <w:tcPr>
            <w:tcW w:w="1884" w:type="dxa"/>
            <w:shd w:val="clear" w:color="auto" w:fill="1F497D" w:themeFill="text2"/>
            <w:vAlign w:val="center"/>
          </w:tcPr>
          <w:p w14:paraId="221F259A" w14:textId="77777777" w:rsidR="001A053A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Control </w:t>
            </w:r>
            <w:r w:rsidR="00026B63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or</w:t>
            </w: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Influence</w:t>
            </w:r>
          </w:p>
        </w:tc>
        <w:tc>
          <w:tcPr>
            <w:tcW w:w="1883" w:type="dxa"/>
            <w:shd w:val="clear" w:color="auto" w:fill="1F497D" w:themeFill="text2"/>
            <w:vAlign w:val="center"/>
          </w:tcPr>
          <w:p w14:paraId="1FF24131" w14:textId="77777777" w:rsidR="001A053A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Risks</w:t>
            </w:r>
          </w:p>
        </w:tc>
        <w:tc>
          <w:tcPr>
            <w:tcW w:w="1883" w:type="dxa"/>
            <w:shd w:val="clear" w:color="auto" w:fill="1F497D" w:themeFill="text2"/>
            <w:vAlign w:val="center"/>
          </w:tcPr>
          <w:p w14:paraId="2BBBA9C7" w14:textId="77777777" w:rsidR="001A053A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Opportunities</w:t>
            </w:r>
          </w:p>
        </w:tc>
        <w:tc>
          <w:tcPr>
            <w:tcW w:w="1884" w:type="dxa"/>
            <w:shd w:val="clear" w:color="auto" w:fill="1F497D" w:themeFill="text2"/>
            <w:vAlign w:val="center"/>
          </w:tcPr>
          <w:p w14:paraId="596CFAE1" w14:textId="77777777" w:rsidR="001A053A" w:rsidRDefault="001A053A" w:rsidP="00026B6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Operation Control</w:t>
            </w:r>
          </w:p>
        </w:tc>
      </w:tr>
      <w:tr w:rsidR="001A053A" w:rsidRPr="00736389" w14:paraId="114054F6" w14:textId="77777777" w:rsidTr="00966722">
        <w:trPr>
          <w:cantSplit/>
          <w:trHeight w:val="711"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CA410C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Life cycle stage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2E2E150B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Example activity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38EA1CDD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Example aspect(s)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08622A46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Example impact(s)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8FC66B1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Possible considerations for control or influence?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45FC7508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Example risks to the organisation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0122A0DB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Example opportunities for the </w:t>
            </w:r>
            <w:r w:rsidR="00026B63"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881A915" w14:textId="77777777" w:rsidR="001A053A" w:rsidRPr="00026B63" w:rsidRDefault="001A053A" w:rsidP="00026B6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26B63">
              <w:rPr>
                <w:rFonts w:ascii="Segoe UI" w:hAnsi="Segoe UI" w:cs="Segoe UI"/>
                <w:b/>
                <w:bCs/>
                <w:sz w:val="16"/>
                <w:szCs w:val="16"/>
              </w:rPr>
              <w:t>Examples of actions including operational control or influence</w:t>
            </w:r>
          </w:p>
        </w:tc>
      </w:tr>
      <w:tr w:rsidR="001A053A" w:rsidRPr="00736389" w14:paraId="60B6915C" w14:textId="77777777" w:rsidTr="00966722">
        <w:trPr>
          <w:cantSplit/>
          <w:trHeight w:val="1814"/>
        </w:trPr>
        <w:tc>
          <w:tcPr>
            <w:tcW w:w="1276" w:type="dxa"/>
            <w:shd w:val="clear" w:color="auto" w:fill="auto"/>
            <w:vAlign w:val="center"/>
          </w:tcPr>
          <w:p w14:paraId="6C082789" w14:textId="77777777" w:rsidR="001A053A" w:rsidRPr="008F4A3D" w:rsidRDefault="001A053A" w:rsidP="00026B63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Supply chain</w:t>
            </w:r>
          </w:p>
        </w:tc>
        <w:tc>
          <w:tcPr>
            <w:tcW w:w="1883" w:type="dxa"/>
            <w:vAlign w:val="center"/>
          </w:tcPr>
          <w:p w14:paraId="0FE1A3E1" w14:textId="77777777" w:rsidR="00A73540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Raw material extraction</w:t>
            </w:r>
          </w:p>
          <w:p w14:paraId="5E589639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Underground or open pit mineral/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metal mining, drilling and pumping oil and gas</w:t>
            </w:r>
          </w:p>
        </w:tc>
        <w:tc>
          <w:tcPr>
            <w:tcW w:w="1883" w:type="dxa"/>
            <w:vAlign w:val="center"/>
          </w:tcPr>
          <w:p w14:paraId="0787FE59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Discharge of mining tailings, fuel com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bustion, and fertiliser runoff</w:t>
            </w:r>
          </w:p>
        </w:tc>
        <w:tc>
          <w:tcPr>
            <w:tcW w:w="1883" w:type="dxa"/>
            <w:vAlign w:val="center"/>
          </w:tcPr>
          <w:p w14:paraId="0735568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Resource depletion, surface and ground water quali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ty, climate change, air quality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24463E3C" w14:textId="77777777" w:rsidR="00A73540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Control type of material used</w:t>
            </w:r>
          </w:p>
          <w:p w14:paraId="35CE4390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Limited influence of suppliers’ processes </w:t>
            </w:r>
          </w:p>
        </w:tc>
        <w:tc>
          <w:tcPr>
            <w:tcW w:w="1883" w:type="dxa"/>
            <w:vAlign w:val="center"/>
          </w:tcPr>
          <w:p w14:paraId="4502B4E4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Unavailability of raw materials and parts due to depletion of natural resources </w:t>
            </w:r>
          </w:p>
        </w:tc>
        <w:tc>
          <w:tcPr>
            <w:tcW w:w="1883" w:type="dxa"/>
            <w:vAlign w:val="center"/>
          </w:tcPr>
          <w:p w14:paraId="13E276E8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Securing a source of strategically important materials to ensure business continuity </w:t>
            </w:r>
          </w:p>
        </w:tc>
        <w:tc>
          <w:tcPr>
            <w:tcW w:w="1884" w:type="dxa"/>
            <w:vAlign w:val="center"/>
          </w:tcPr>
          <w:p w14:paraId="71F86138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Establish environmental requirements in the design process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, e.g. relating to material use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1A053A" w:rsidRPr="00736389" w14:paraId="7AE693B5" w14:textId="77777777" w:rsidTr="00966722">
        <w:trPr>
          <w:cantSplit/>
          <w:trHeight w:val="1699"/>
        </w:trPr>
        <w:tc>
          <w:tcPr>
            <w:tcW w:w="1276" w:type="dxa"/>
            <w:shd w:val="clear" w:color="auto" w:fill="auto"/>
            <w:vAlign w:val="center"/>
          </w:tcPr>
          <w:p w14:paraId="56F3658A" w14:textId="77777777" w:rsidR="001A053A" w:rsidRPr="008F4A3D" w:rsidRDefault="001A053A" w:rsidP="00026B63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Supply chain</w:t>
            </w:r>
          </w:p>
        </w:tc>
        <w:tc>
          <w:tcPr>
            <w:tcW w:w="1883" w:type="dxa"/>
            <w:vAlign w:val="center"/>
          </w:tcPr>
          <w:p w14:paraId="528B4748" w14:textId="77777777" w:rsidR="00A73540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Material/component processing. </w:t>
            </w:r>
          </w:p>
          <w:p w14:paraId="443A816D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Oil refining, smelting, grinding, washing, 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pelletizing</w:t>
            </w:r>
          </w:p>
        </w:tc>
        <w:tc>
          <w:tcPr>
            <w:tcW w:w="1883" w:type="dxa"/>
            <w:vAlign w:val="center"/>
          </w:tcPr>
          <w:p w14:paraId="13841E7F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Filtration of heavy metals, fue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l combustion, waste generation</w:t>
            </w:r>
          </w:p>
        </w:tc>
        <w:tc>
          <w:tcPr>
            <w:tcW w:w="1883" w:type="dxa"/>
            <w:vAlign w:val="center"/>
          </w:tcPr>
          <w:p w14:paraId="4E92B731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Human toxicity, landfill us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e, climate change, air quality</w:t>
            </w:r>
          </w:p>
        </w:tc>
        <w:tc>
          <w:tcPr>
            <w:tcW w:w="1884" w:type="dxa"/>
            <w:vAlign w:val="center"/>
          </w:tcPr>
          <w:p w14:paraId="6D8AB075" w14:textId="77777777" w:rsidR="00A73540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Control type of material used. </w:t>
            </w:r>
          </w:p>
          <w:p w14:paraId="7CA07AA7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Limited influ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ence of suppliers’ processes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338E4624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Unavailability of raw materials and parts due to 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depletion of natural resources</w:t>
            </w:r>
          </w:p>
        </w:tc>
        <w:tc>
          <w:tcPr>
            <w:tcW w:w="1883" w:type="dxa"/>
            <w:vAlign w:val="center"/>
          </w:tcPr>
          <w:p w14:paraId="74259516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Securing a source of strategically important materials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to ensure business continuity</w:t>
            </w:r>
          </w:p>
        </w:tc>
        <w:tc>
          <w:tcPr>
            <w:tcW w:w="1884" w:type="dxa"/>
            <w:vAlign w:val="center"/>
          </w:tcPr>
          <w:p w14:paraId="60D56E2B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Review resource scarcity vulnerability of supply chain. </w:t>
            </w:r>
          </w:p>
          <w:p w14:paraId="76F04727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Suppliers/contrac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tors to be ISO 14001 certified</w:t>
            </w:r>
          </w:p>
        </w:tc>
      </w:tr>
      <w:tr w:rsidR="001A053A" w:rsidRPr="00736389" w14:paraId="32849B7E" w14:textId="77777777" w:rsidTr="00966722">
        <w:trPr>
          <w:cantSplit/>
          <w:trHeight w:val="2404"/>
        </w:trPr>
        <w:tc>
          <w:tcPr>
            <w:tcW w:w="1276" w:type="dxa"/>
            <w:shd w:val="clear" w:color="auto" w:fill="auto"/>
            <w:vAlign w:val="center"/>
          </w:tcPr>
          <w:p w14:paraId="7ABD805C" w14:textId="77777777" w:rsidR="001A053A" w:rsidRPr="008F4A3D" w:rsidRDefault="001A053A" w:rsidP="00026B63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Supply chain</w:t>
            </w:r>
          </w:p>
        </w:tc>
        <w:tc>
          <w:tcPr>
            <w:tcW w:w="1883" w:type="dxa"/>
            <w:vAlign w:val="center"/>
          </w:tcPr>
          <w:p w14:paraId="52F24221" w14:textId="77777777" w:rsidR="001A053A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Part supplier</w:t>
            </w:r>
          </w:p>
        </w:tc>
        <w:tc>
          <w:tcPr>
            <w:tcW w:w="1883" w:type="dxa"/>
            <w:vAlign w:val="center"/>
          </w:tcPr>
          <w:p w14:paraId="32DFDDC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Material waste, energy consumption, air emissions, wate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 emissions, water consumption</w:t>
            </w:r>
          </w:p>
        </w:tc>
        <w:tc>
          <w:tcPr>
            <w:tcW w:w="1883" w:type="dxa"/>
            <w:vAlign w:val="center"/>
          </w:tcPr>
          <w:p w14:paraId="514CFE4D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Resource depletion, landfill use, air quality, water quality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, climate change</w:t>
            </w:r>
          </w:p>
        </w:tc>
        <w:tc>
          <w:tcPr>
            <w:tcW w:w="1884" w:type="dxa"/>
            <w:vAlign w:val="center"/>
          </w:tcPr>
          <w:p w14:paraId="11C4C158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No control or influence over design or supplier’s manufacturing methods. </w:t>
            </w:r>
          </w:p>
          <w:p w14:paraId="4439F9A0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Can influe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nce through supplier selection</w:t>
            </w:r>
          </w:p>
        </w:tc>
        <w:tc>
          <w:tcPr>
            <w:tcW w:w="1883" w:type="dxa"/>
            <w:vAlign w:val="center"/>
          </w:tcPr>
          <w:p w14:paraId="7F2A52DA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Cost of part increases </w:t>
            </w:r>
          </w:p>
          <w:p w14:paraId="15B96C56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Product unavailable due to non-compliance with 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chemical substance legislation</w:t>
            </w:r>
          </w:p>
        </w:tc>
        <w:tc>
          <w:tcPr>
            <w:tcW w:w="1883" w:type="dxa"/>
            <w:vAlign w:val="center"/>
          </w:tcPr>
          <w:p w14:paraId="057DCB87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Reduced cost of part due to more efficient logistics/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manufacturing methods</w:t>
            </w:r>
          </w:p>
        </w:tc>
        <w:tc>
          <w:tcPr>
            <w:tcW w:w="1884" w:type="dxa"/>
            <w:vAlign w:val="center"/>
          </w:tcPr>
          <w:p w14:paraId="45F5BAE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Improved stock control and ordering (reduce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occurrence of redundant stock)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7F1121D6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Reduce quantity of fas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teners required through design</w:t>
            </w:r>
          </w:p>
          <w:p w14:paraId="4F4C05BA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R&amp;D into</w:t>
            </w:r>
            <w:r w:rsidR="008F4A3D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alternative methods</w:t>
            </w:r>
          </w:p>
        </w:tc>
      </w:tr>
      <w:tr w:rsidR="001A053A" w:rsidRPr="00736389" w14:paraId="3A0461D3" w14:textId="77777777" w:rsidTr="00966722">
        <w:trPr>
          <w:cantSplit/>
          <w:trHeight w:val="1589"/>
        </w:trPr>
        <w:tc>
          <w:tcPr>
            <w:tcW w:w="1276" w:type="dxa"/>
            <w:shd w:val="clear" w:color="auto" w:fill="auto"/>
            <w:vAlign w:val="center"/>
          </w:tcPr>
          <w:p w14:paraId="244E1255" w14:textId="77777777" w:rsidR="001A053A" w:rsidRPr="008F4A3D" w:rsidRDefault="00026B63" w:rsidP="00026B63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lastRenderedPageBreak/>
              <w:t>Manufacturing</w:t>
            </w:r>
          </w:p>
        </w:tc>
        <w:tc>
          <w:tcPr>
            <w:tcW w:w="1883" w:type="dxa"/>
            <w:vAlign w:val="center"/>
          </w:tcPr>
          <w:p w14:paraId="62220D62" w14:textId="77777777" w:rsidR="001A053A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Waste metal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and e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nergy use</w:t>
            </w:r>
          </w:p>
        </w:tc>
        <w:tc>
          <w:tcPr>
            <w:tcW w:w="1883" w:type="dxa"/>
            <w:vAlign w:val="center"/>
          </w:tcPr>
          <w:p w14:paraId="4F6865E2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Use of res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ources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and c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limate change</w:t>
            </w:r>
          </w:p>
        </w:tc>
        <w:tc>
          <w:tcPr>
            <w:tcW w:w="1883" w:type="dxa"/>
            <w:vAlign w:val="center"/>
          </w:tcPr>
          <w:p w14:paraId="73195D8C" w14:textId="77777777" w:rsidR="00A73540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Design control 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is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dependent on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ownership of design authority</w:t>
            </w:r>
          </w:p>
          <w:p w14:paraId="2F26CAE2" w14:textId="77777777" w:rsidR="001A053A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Control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over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manufacturing methods</w:t>
            </w:r>
          </w:p>
        </w:tc>
        <w:tc>
          <w:tcPr>
            <w:tcW w:w="1884" w:type="dxa"/>
            <w:vAlign w:val="center"/>
          </w:tcPr>
          <w:p w14:paraId="7E41FFDD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Inefficiencies make organi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z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ation’s product uncompetitive</w:t>
            </w:r>
          </w:p>
        </w:tc>
        <w:tc>
          <w:tcPr>
            <w:tcW w:w="1883" w:type="dxa"/>
            <w:vAlign w:val="center"/>
          </w:tcPr>
          <w:p w14:paraId="4501B13A" w14:textId="77777777" w:rsidR="00A73540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Reduce resource costs</w:t>
            </w:r>
          </w:p>
          <w:p w14:paraId="6CF8E64B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mprove production efficiencies</w:t>
            </w:r>
          </w:p>
        </w:tc>
        <w:tc>
          <w:tcPr>
            <w:tcW w:w="1883" w:type="dxa"/>
            <w:vAlign w:val="center"/>
          </w:tcPr>
          <w:p w14:paraId="23A7BE7D" w14:textId="77777777" w:rsidR="001A053A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Reduce errors and scrappage</w:t>
            </w:r>
          </w:p>
        </w:tc>
        <w:tc>
          <w:tcPr>
            <w:tcW w:w="1884" w:type="dxa"/>
            <w:vAlign w:val="center"/>
          </w:tcPr>
          <w:p w14:paraId="754382F8" w14:textId="77777777" w:rsidR="001A053A" w:rsidRPr="008F4A3D" w:rsidRDefault="00026B63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Fabrication</w:t>
            </w:r>
          </w:p>
        </w:tc>
      </w:tr>
      <w:tr w:rsidR="001A053A" w:rsidRPr="00736389" w14:paraId="38D6F901" w14:textId="77777777" w:rsidTr="00966722">
        <w:trPr>
          <w:cantSplit/>
          <w:trHeight w:val="1911"/>
        </w:trPr>
        <w:tc>
          <w:tcPr>
            <w:tcW w:w="1276" w:type="dxa"/>
            <w:shd w:val="clear" w:color="auto" w:fill="auto"/>
            <w:vAlign w:val="center"/>
          </w:tcPr>
          <w:p w14:paraId="5529ADB3" w14:textId="77777777" w:rsidR="001A053A" w:rsidRPr="008F4A3D" w:rsidRDefault="00A73540" w:rsidP="00026B63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Transport and delivery</w:t>
            </w:r>
          </w:p>
          <w:p w14:paraId="3AF981E5" w14:textId="77777777" w:rsidR="001A053A" w:rsidRPr="008F4A3D" w:rsidRDefault="001A053A" w:rsidP="00026B63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0F90E2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Shipping by sea,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rail, road or air</w:t>
            </w:r>
          </w:p>
        </w:tc>
        <w:tc>
          <w:tcPr>
            <w:tcW w:w="1883" w:type="dxa"/>
            <w:vAlign w:val="center"/>
          </w:tcPr>
          <w:p w14:paraId="3DA1A1F9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Combustion of fuel in vehicle, energy use at warehouses/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distribution </w:t>
            </w:r>
            <w:r w:rsidR="00026B63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centres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, and disposal of packaging required for shipping</w:t>
            </w:r>
          </w:p>
        </w:tc>
        <w:tc>
          <w:tcPr>
            <w:tcW w:w="1883" w:type="dxa"/>
            <w:vAlign w:val="center"/>
          </w:tcPr>
          <w:p w14:paraId="7CCFAE30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Air quality, climate change, landfill use </w:t>
            </w:r>
          </w:p>
        </w:tc>
        <w:tc>
          <w:tcPr>
            <w:tcW w:w="1884" w:type="dxa"/>
            <w:vAlign w:val="center"/>
          </w:tcPr>
          <w:p w14:paraId="465A5462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Control shipment method through operational controls, contracts with transport contractor,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design of supply chain network</w:t>
            </w:r>
          </w:p>
        </w:tc>
        <w:tc>
          <w:tcPr>
            <w:tcW w:w="1883" w:type="dxa"/>
            <w:vAlign w:val="center"/>
          </w:tcPr>
          <w:p w14:paraId="126411A4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Disruption from extreme weather </w:t>
            </w:r>
          </w:p>
          <w:p w14:paraId="2405727B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Increased transpor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 costs from rising fuel costs</w:t>
            </w:r>
          </w:p>
        </w:tc>
        <w:tc>
          <w:tcPr>
            <w:tcW w:w="1883" w:type="dxa"/>
            <w:vAlign w:val="center"/>
          </w:tcPr>
          <w:p w14:paraId="0005B17A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Reduce transport co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sts through efficient ordering</w:t>
            </w:r>
          </w:p>
          <w:p w14:paraId="75765229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Positive publicity associated with innovative approach </w:t>
            </w:r>
          </w:p>
        </w:tc>
        <w:tc>
          <w:tcPr>
            <w:tcW w:w="1884" w:type="dxa"/>
            <w:vAlign w:val="center"/>
          </w:tcPr>
          <w:p w14:paraId="573ADB9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Work with customers to invest in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reusable packaging</w:t>
            </w:r>
          </w:p>
          <w:p w14:paraId="0808133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Specify the use of more efficient vehicles and plan for efficient ro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uting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1A053A" w:rsidRPr="00736389" w14:paraId="01151CD6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2A1B8025" w14:textId="77777777" w:rsidR="001A053A" w:rsidRPr="008F4A3D" w:rsidRDefault="001A053A" w:rsidP="00A73540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End-of-life treatment</w:t>
            </w:r>
          </w:p>
        </w:tc>
        <w:tc>
          <w:tcPr>
            <w:tcW w:w="1883" w:type="dxa"/>
            <w:vAlign w:val="center"/>
          </w:tcPr>
          <w:p w14:paraId="7C0FCAAD" w14:textId="77777777" w:rsidR="001A053A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Disassembly</w:t>
            </w:r>
          </w:p>
        </w:tc>
        <w:tc>
          <w:tcPr>
            <w:tcW w:w="1883" w:type="dxa"/>
            <w:vAlign w:val="center"/>
          </w:tcPr>
          <w:p w14:paraId="04DF5AB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Recycling of metal </w:t>
            </w:r>
          </w:p>
        </w:tc>
        <w:tc>
          <w:tcPr>
            <w:tcW w:w="1883" w:type="dxa"/>
            <w:vAlign w:val="center"/>
          </w:tcPr>
          <w:p w14:paraId="07A8E34C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Reduction in virgin resource use and contribution to climate change </w:t>
            </w:r>
          </w:p>
        </w:tc>
        <w:tc>
          <w:tcPr>
            <w:tcW w:w="1884" w:type="dxa"/>
            <w:vAlign w:val="center"/>
          </w:tcPr>
          <w:p w14:paraId="75249DE4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No control (unless undertaking activity) </w:t>
            </w:r>
          </w:p>
          <w:p w14:paraId="18CA3861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Influence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through design and information</w:t>
            </w:r>
          </w:p>
        </w:tc>
        <w:tc>
          <w:tcPr>
            <w:tcW w:w="1883" w:type="dxa"/>
            <w:vAlign w:val="center"/>
          </w:tcPr>
          <w:p w14:paraId="20E1A128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Difficult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to recycle composite materials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0AF02CB0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Increased revenue from being able to offe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 innovative recycling approach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3AEF1568" w14:textId="77777777" w:rsidR="001A053A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Redesign </w:t>
            </w:r>
            <w:r w:rsidR="001A053A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parts to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allow separation of materials</w:t>
            </w:r>
          </w:p>
        </w:tc>
      </w:tr>
      <w:tr w:rsidR="001A053A" w:rsidRPr="00736389" w14:paraId="35F7465D" w14:textId="77777777" w:rsidTr="00966722">
        <w:trPr>
          <w:cantSplit/>
          <w:trHeight w:val="2014"/>
        </w:trPr>
        <w:tc>
          <w:tcPr>
            <w:tcW w:w="1276" w:type="dxa"/>
            <w:shd w:val="clear" w:color="auto" w:fill="auto"/>
            <w:vAlign w:val="center"/>
          </w:tcPr>
          <w:p w14:paraId="2200005B" w14:textId="77777777" w:rsidR="001A053A" w:rsidRPr="008F4A3D" w:rsidRDefault="00A73540" w:rsidP="00A73540">
            <w:pPr>
              <w:pStyle w:val="Default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F</w:t>
            </w:r>
            <w:r w:rsidR="001A053A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inal disposal</w:t>
            </w:r>
          </w:p>
        </w:tc>
        <w:tc>
          <w:tcPr>
            <w:tcW w:w="1883" w:type="dxa"/>
            <w:vAlign w:val="center"/>
          </w:tcPr>
          <w:p w14:paraId="751A68E4" w14:textId="77777777" w:rsidR="001A053A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Disposal of parts</w:t>
            </w:r>
          </w:p>
        </w:tc>
        <w:tc>
          <w:tcPr>
            <w:tcW w:w="1883" w:type="dxa"/>
            <w:vAlign w:val="center"/>
          </w:tcPr>
          <w:p w14:paraId="1136E343" w14:textId="77777777" w:rsidR="001A053A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Landfill of plastic/ rubber</w:t>
            </w:r>
          </w:p>
        </w:tc>
        <w:tc>
          <w:tcPr>
            <w:tcW w:w="1883" w:type="dxa"/>
            <w:vAlign w:val="center"/>
          </w:tcPr>
          <w:p w14:paraId="01B936EB" w14:textId="77777777" w:rsidR="001A053A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Loss of finite resources</w:t>
            </w:r>
          </w:p>
          <w:p w14:paraId="397C83FA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Impacts from landfill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,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w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ater pollution, climate change</w:t>
            </w:r>
          </w:p>
        </w:tc>
        <w:tc>
          <w:tcPr>
            <w:tcW w:w="1884" w:type="dxa"/>
            <w:vAlign w:val="center"/>
          </w:tcPr>
          <w:p w14:paraId="78DFE6E9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Influence through design, take back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programs, and information</w:t>
            </w:r>
          </w:p>
          <w:p w14:paraId="40AA685D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Influence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through design and information</w:t>
            </w:r>
          </w:p>
        </w:tc>
        <w:tc>
          <w:tcPr>
            <w:tcW w:w="1883" w:type="dxa"/>
            <w:vAlign w:val="center"/>
          </w:tcPr>
          <w:p w14:paraId="64728B07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Increased 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costs associated with landfill</w:t>
            </w:r>
          </w:p>
          <w:p w14:paraId="194C842E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Restrictions on wast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e that can be sent to landfill</w:t>
            </w:r>
          </w:p>
        </w:tc>
        <w:tc>
          <w:tcPr>
            <w:tcW w:w="1883" w:type="dxa"/>
            <w:vAlign w:val="center"/>
          </w:tcPr>
          <w:p w14:paraId="27779D1F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Increased revenue from being able to offer innovative waste recovery and recycling approa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ches</w:t>
            </w:r>
          </w:p>
        </w:tc>
        <w:tc>
          <w:tcPr>
            <w:tcW w:w="1884" w:type="dxa"/>
            <w:vAlign w:val="center"/>
          </w:tcPr>
          <w:p w14:paraId="32D381E2" w14:textId="77777777" w:rsidR="001A053A" w:rsidRPr="008F4A3D" w:rsidRDefault="00A73540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Participate in </w:t>
            </w:r>
            <w:r w:rsidR="001A053A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initiative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s</w:t>
            </w:r>
            <w:r w:rsidR="001A053A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 to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increase recyclability</w:t>
            </w:r>
          </w:p>
          <w:p w14:paraId="772A89D9" w14:textId="77777777" w:rsidR="001A053A" w:rsidRPr="008F4A3D" w:rsidRDefault="001A053A" w:rsidP="00A73540">
            <w:pPr>
              <w:pStyle w:val="Default"/>
              <w:spacing w:after="60"/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Implement program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 xml:space="preserve">me to </w:t>
            </w:r>
            <w:r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re</w:t>
            </w:r>
            <w:r w:rsidR="00A73540" w:rsidRPr="008F4A3D"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  <w:t>use or recycle individual parts</w:t>
            </w:r>
          </w:p>
        </w:tc>
      </w:tr>
      <w:tr w:rsidR="001A053A" w:rsidRPr="00736389" w14:paraId="659D86DF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6A53336D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4E8CE0B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2352F9F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D70C660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A76FBA9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1A15160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4BB6E39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458049D7" w14:textId="77777777" w:rsidR="001A053A" w:rsidRPr="001A053A" w:rsidRDefault="001A053A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321A57C4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674BFF5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9907144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5563FC7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8D99BB9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0F37C74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9E58633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55A3955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1562D73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4B85CDBB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37A5BC84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C3DE446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D6B46D8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7899839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4A18EAF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4EBB075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50DD4D06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4E0B4D2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646D2348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673258E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18A3559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E2D421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94E47E0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B28213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D8FD1DE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172E7A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02E89E7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4BA90F2C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49EF5C1E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EADD85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E527672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C96ED9F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526D07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D19429E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D1DA74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5A81135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42C4A09E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2FB7DAA2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B4B55EA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542BBC69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CE7F026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8F499C6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ABC3512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14CBBD8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7CF322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06E7D135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0C52B70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5C45258B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3BE2BB2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19F4294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25C9E55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D70B9B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8924DCA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FBF3F30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2B02ECE3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06519DA6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419900C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3B7CC50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D25FC7F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5544909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D82C141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C3C8C11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9D63D84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A3D" w:rsidRPr="00736389" w14:paraId="0DA55C9D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2A4684BA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E5E9940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E2A299B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28AF4CD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7DE3FFA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4493C0E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8919D96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5573552" w14:textId="77777777" w:rsidR="008F4A3D" w:rsidRPr="001A053A" w:rsidRDefault="008F4A3D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55C1" w:rsidRPr="00736389" w14:paraId="0FF96C34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1BDEB400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9AC29FC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CD3750C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73E38A9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9106310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4B55B72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C81D6FE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C21990D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55C1" w:rsidRPr="00736389" w14:paraId="66425263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6EB8D09E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3283369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8492047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8683B88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41C08E13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3173530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C603472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1C8FA98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55C1" w:rsidRPr="00736389" w14:paraId="05507202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195F9083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2379E53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AC19A7D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60507A10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0A67A1B1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4B2A9AA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523B89A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66D9742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55C1" w:rsidRPr="00736389" w14:paraId="134C3DE6" w14:textId="77777777" w:rsidTr="00966722">
        <w:trPr>
          <w:cantSplit/>
          <w:trHeight w:val="493"/>
        </w:trPr>
        <w:tc>
          <w:tcPr>
            <w:tcW w:w="1276" w:type="dxa"/>
            <w:shd w:val="clear" w:color="auto" w:fill="auto"/>
            <w:vAlign w:val="center"/>
          </w:tcPr>
          <w:p w14:paraId="7A325E96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963929B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7BFC36B9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5CC3F23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79ED2CB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3098E9D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20B0E0D9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CAEA712" w14:textId="77777777" w:rsidR="00F455C1" w:rsidRPr="001A053A" w:rsidRDefault="00F455C1" w:rsidP="001A053A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EEF6AA8" w14:textId="77777777" w:rsidR="00B83272" w:rsidRDefault="00B83272" w:rsidP="00B83272">
      <w:pPr>
        <w:rPr>
          <w:rFonts w:ascii="Segoe UI" w:hAnsi="Segoe UI" w:cs="Segoe UI"/>
          <w:sz w:val="18"/>
          <w:szCs w:val="18"/>
        </w:rPr>
      </w:pPr>
    </w:p>
    <w:p w14:paraId="71DBA185" w14:textId="77777777" w:rsidR="00E87B9E" w:rsidRDefault="00E87B9E" w:rsidP="00B83272">
      <w:pPr>
        <w:rPr>
          <w:rFonts w:ascii="Segoe UI" w:hAnsi="Segoe UI" w:cs="Segoe UI"/>
          <w:sz w:val="18"/>
          <w:szCs w:val="18"/>
        </w:rPr>
      </w:pPr>
    </w:p>
    <w:tbl>
      <w:tblPr>
        <w:tblW w:w="1445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59"/>
      </w:tblGrid>
      <w:tr w:rsidR="00E87B9E" w:rsidRPr="00736389" w14:paraId="011EBD12" w14:textId="77777777" w:rsidTr="00335399">
        <w:trPr>
          <w:cantSplit/>
          <w:trHeight w:val="28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1D05A23" w14:textId="77777777" w:rsidR="00E87B9E" w:rsidRPr="00987DD7" w:rsidRDefault="00E87B9E" w:rsidP="00335399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987DD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lastRenderedPageBreak/>
              <w:t>Conclusions</w:t>
            </w:r>
          </w:p>
        </w:tc>
      </w:tr>
      <w:tr w:rsidR="00E87B9E" w:rsidRPr="00736389" w14:paraId="4EFBF80C" w14:textId="77777777" w:rsidTr="00335399">
        <w:trPr>
          <w:cantSplit/>
          <w:trHeight w:val="1701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28A" w14:textId="77777777" w:rsidR="00E87B9E" w:rsidRPr="00736389" w:rsidRDefault="00E87B9E" w:rsidP="00335399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87B9E" w:rsidRPr="00736389" w14:paraId="2F589C52" w14:textId="77777777" w:rsidTr="00335399">
        <w:trPr>
          <w:cantSplit/>
          <w:trHeight w:val="28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367C761" w14:textId="77777777" w:rsidR="00E87B9E" w:rsidRPr="00987DD7" w:rsidRDefault="00E87B9E" w:rsidP="00335399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987DD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Recommendations</w:t>
            </w:r>
          </w:p>
        </w:tc>
      </w:tr>
      <w:tr w:rsidR="00E87B9E" w:rsidRPr="00736389" w14:paraId="28B5F67E" w14:textId="77777777" w:rsidTr="00335399">
        <w:trPr>
          <w:cantSplit/>
          <w:trHeight w:val="1701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596" w14:textId="77777777" w:rsidR="00E87B9E" w:rsidRPr="00736389" w:rsidRDefault="00E87B9E" w:rsidP="00335399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67BE01EF" w14:textId="77777777" w:rsidR="00E87B9E" w:rsidRDefault="00E87B9E" w:rsidP="00B83272">
      <w:pPr>
        <w:rPr>
          <w:rFonts w:ascii="Segoe UI" w:hAnsi="Segoe UI" w:cs="Segoe UI"/>
          <w:sz w:val="18"/>
          <w:szCs w:val="18"/>
        </w:rPr>
      </w:pPr>
    </w:p>
    <w:sectPr w:rsidR="00E87B9E" w:rsidSect="00452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797" w:right="1304" w:bottom="16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A400" w14:textId="77777777" w:rsidR="00FA3990" w:rsidRDefault="00FA3990">
      <w:r>
        <w:separator/>
      </w:r>
    </w:p>
  </w:endnote>
  <w:endnote w:type="continuationSeparator" w:id="0">
    <w:p w14:paraId="53DE70F9" w14:textId="77777777" w:rsidR="00FA3990" w:rsidRDefault="00FA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1" w:usb1="0000807B" w:usb2="00000008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6013" w14:textId="77777777" w:rsidR="00E935AE" w:rsidRDefault="00E93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268"/>
      <w:gridCol w:w="9214"/>
      <w:gridCol w:w="1417"/>
    </w:tblGrid>
    <w:tr w:rsidR="0008701F" w:rsidRPr="00CE596B" w14:paraId="57C196BA" w14:textId="77777777" w:rsidTr="0008701F">
      <w:trPr>
        <w:trHeight w:hRule="exact" w:val="288"/>
      </w:trPr>
      <w:tc>
        <w:tcPr>
          <w:tcW w:w="1560" w:type="dxa"/>
          <w:vAlign w:val="center"/>
        </w:tcPr>
        <w:p w14:paraId="06CF348C" w14:textId="77777777" w:rsidR="0008701F" w:rsidRPr="00287492" w:rsidRDefault="0008701F" w:rsidP="00434BCC">
          <w:pPr>
            <w:pStyle w:val="Footer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  <w:r w:rsidRPr="00287492">
            <w:rPr>
              <w:rFonts w:ascii="Segoe UI" w:hAnsi="Segoe UI" w:cs="Segoe UI"/>
              <w:color w:val="808080" w:themeColor="background1" w:themeShade="80"/>
              <w:sz w:val="18"/>
            </w:rPr>
            <w:t>Document Ref:</w:t>
          </w:r>
        </w:p>
      </w:tc>
      <w:tc>
        <w:tcPr>
          <w:tcW w:w="2268" w:type="dxa"/>
          <w:vAlign w:val="center"/>
        </w:tcPr>
        <w:p w14:paraId="561FA3DE" w14:textId="77777777" w:rsidR="0008701F" w:rsidRPr="00287492" w:rsidRDefault="0008701F" w:rsidP="00434BCC">
          <w:pPr>
            <w:pStyle w:val="Footer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</w:p>
      </w:tc>
      <w:tc>
        <w:tcPr>
          <w:tcW w:w="9214" w:type="dxa"/>
          <w:vAlign w:val="center"/>
        </w:tcPr>
        <w:p w14:paraId="16DE60A8" w14:textId="77777777" w:rsidR="0008701F" w:rsidRPr="00287492" w:rsidRDefault="0008701F" w:rsidP="00434BCC">
          <w:pPr>
            <w:pStyle w:val="Footer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14:paraId="6C2EBACF" w14:textId="5234E402" w:rsidR="0008701F" w:rsidRPr="00E935AE" w:rsidRDefault="0008701F" w:rsidP="00434BCC">
          <w:pPr>
            <w:pStyle w:val="Footer"/>
            <w:jc w:val="right"/>
            <w:rPr>
              <w:rFonts w:ascii="Segoe UI" w:hAnsi="Segoe UI" w:cs="Segoe UI"/>
              <w:sz w:val="18"/>
              <w:szCs w:val="18"/>
            </w:rPr>
          </w:pPr>
          <w:bookmarkStart w:id="0" w:name="_GoBack"/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t xml:space="preserve">Page </w:t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fldChar w:fldCharType="begin"/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instrText xml:space="preserve"> PAGE </w:instrText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fldChar w:fldCharType="separate"/>
          </w:r>
          <w:r w:rsidR="00E935AE">
            <w:rPr>
              <w:rStyle w:val="PageNumber"/>
              <w:rFonts w:ascii="Segoe UI" w:hAnsi="Segoe UI" w:cs="Segoe UI"/>
              <w:noProof/>
              <w:sz w:val="18"/>
              <w:szCs w:val="18"/>
            </w:rPr>
            <w:t>3</w:t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fldChar w:fldCharType="end"/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t xml:space="preserve"> of </w:t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fldChar w:fldCharType="begin"/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instrText xml:space="preserve"> NUMPAGES </w:instrText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fldChar w:fldCharType="separate"/>
          </w:r>
          <w:r w:rsidR="00E935AE">
            <w:rPr>
              <w:rStyle w:val="PageNumber"/>
              <w:rFonts w:ascii="Segoe UI" w:hAnsi="Segoe UI" w:cs="Segoe UI"/>
              <w:noProof/>
              <w:sz w:val="18"/>
              <w:szCs w:val="18"/>
            </w:rPr>
            <w:t>4</w:t>
          </w:r>
          <w:r w:rsidRPr="00E935AE">
            <w:rPr>
              <w:rStyle w:val="PageNumber"/>
              <w:rFonts w:ascii="Segoe UI" w:hAnsi="Segoe UI" w:cs="Segoe UI"/>
              <w:sz w:val="18"/>
              <w:szCs w:val="18"/>
            </w:rPr>
            <w:fldChar w:fldCharType="end"/>
          </w:r>
          <w:bookmarkEnd w:id="0"/>
        </w:p>
      </w:tc>
    </w:tr>
  </w:tbl>
  <w:p w14:paraId="38C03D68" w14:textId="77777777" w:rsidR="0008701F" w:rsidRPr="00486C7C" w:rsidRDefault="0008701F" w:rsidP="0008701F">
    <w:pPr>
      <w:pStyle w:val="Footer"/>
      <w:rPr>
        <w:sz w:val="10"/>
      </w:rPr>
    </w:pPr>
  </w:p>
  <w:p w14:paraId="42007E78" w14:textId="77777777" w:rsidR="0008701F" w:rsidRPr="0008701F" w:rsidRDefault="0008701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1DB0" w14:textId="77777777" w:rsidR="00E935AE" w:rsidRDefault="00E93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61B4" w14:textId="77777777" w:rsidR="00FA3990" w:rsidRDefault="00FA3990">
      <w:r>
        <w:separator/>
      </w:r>
    </w:p>
  </w:footnote>
  <w:footnote w:type="continuationSeparator" w:id="0">
    <w:p w14:paraId="011B3AFA" w14:textId="77777777" w:rsidR="00FA3990" w:rsidRDefault="00FA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1"/>
      <w:gridCol w:w="4261"/>
    </w:tblGrid>
    <w:tr w:rsidR="000B1EA0" w14:paraId="3F5E2F1A" w14:textId="77777777" w:rsidTr="00780A85">
      <w:trPr>
        <w:trHeight w:val="556"/>
      </w:trPr>
      <w:tc>
        <w:tcPr>
          <w:tcW w:w="4261" w:type="dxa"/>
          <w:vAlign w:val="center"/>
        </w:tcPr>
        <w:p w14:paraId="53A9C01D" w14:textId="77777777" w:rsidR="000B1EA0" w:rsidRPr="00780A85" w:rsidRDefault="000B1EA0" w:rsidP="00A02696">
          <w:pPr>
            <w:pStyle w:val="Header"/>
            <w:rPr>
              <w:rFonts w:ascii="Arial" w:hAnsi="Arial" w:cs="Arial"/>
              <w:color w:val="0000FF"/>
            </w:rPr>
          </w:pPr>
          <w:r w:rsidRPr="00780A85">
            <w:rPr>
              <w:rFonts w:ascii="Arial" w:hAnsi="Arial" w:cs="Arial"/>
              <w:color w:val="0000FF"/>
            </w:rPr>
            <w:t>Insert company name/logo here</w:t>
          </w:r>
        </w:p>
      </w:tc>
      <w:tc>
        <w:tcPr>
          <w:tcW w:w="4261" w:type="dxa"/>
          <w:vAlign w:val="center"/>
        </w:tcPr>
        <w:p w14:paraId="323BE8C9" w14:textId="77777777" w:rsidR="000B1EA0" w:rsidRPr="00780A85" w:rsidRDefault="000B1EA0" w:rsidP="00780A85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780A85">
            <w:rPr>
              <w:rFonts w:ascii="Arial" w:hAnsi="Arial" w:cs="Arial"/>
              <w:sz w:val="32"/>
              <w:szCs w:val="32"/>
            </w:rPr>
            <w:t>Quality Manual</w:t>
          </w:r>
        </w:p>
      </w:tc>
    </w:tr>
  </w:tbl>
  <w:p w14:paraId="1B41C83F" w14:textId="77777777" w:rsidR="000B1EA0" w:rsidRDefault="00FA3990" w:rsidP="006238E8">
    <w:pPr>
      <w:jc w:val="center"/>
      <w:rPr>
        <w:lang w:val="en-US"/>
      </w:rPr>
    </w:pPr>
    <w:r>
      <w:rPr>
        <w:lang w:val="en-US"/>
      </w:rPr>
      <w:pict w14:anchorId="0E451947">
        <v:rect id="_x0000_i1025" style="width:415.3pt;height:1.5pt" o:hralign="center" o:hrstd="t" o:hr="t" fillcolor="#aca899" stroked="f"/>
      </w:pict>
    </w:r>
  </w:p>
  <w:p w14:paraId="45ABDD85" w14:textId="77777777" w:rsidR="000B1EA0" w:rsidRPr="00283348" w:rsidRDefault="000B1EA0" w:rsidP="006238E8">
    <w:pPr>
      <w:pStyle w:val="Header"/>
      <w:rPr>
        <w:rFonts w:ascii="Arial" w:hAnsi="Arial" w:cs="Arial"/>
        <w:b/>
      </w:rPr>
    </w:pPr>
    <w:r w:rsidRPr="00283348">
      <w:rPr>
        <w:rFonts w:ascii="Arial" w:hAnsi="Arial" w:cs="Arial"/>
        <w:b/>
      </w:rPr>
      <w:t>Introduction</w:t>
    </w:r>
  </w:p>
  <w:p w14:paraId="6D5E1FD7" w14:textId="77777777" w:rsidR="000B1EA0" w:rsidRDefault="000B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3544"/>
      <w:gridCol w:w="10915"/>
    </w:tblGrid>
    <w:tr w:rsidR="0008701F" w:rsidRPr="001618E1" w14:paraId="2BB92076" w14:textId="77777777" w:rsidTr="00287492">
      <w:trPr>
        <w:trHeight w:hRule="exact" w:val="475"/>
      </w:trPr>
      <w:tc>
        <w:tcPr>
          <w:tcW w:w="3544" w:type="dxa"/>
          <w:vMerge w:val="restart"/>
          <w:vAlign w:val="center"/>
        </w:tcPr>
        <w:p w14:paraId="2A1BA000" w14:textId="77777777" w:rsidR="0008701F" w:rsidRPr="004C1A3F" w:rsidRDefault="00E935AE" w:rsidP="00434BCC">
          <w:pPr>
            <w:pStyle w:val="Footer"/>
          </w:pPr>
          <w:r w:rsidRPr="00D414A7">
            <w:rPr>
              <w:color w:val="808080" w:themeColor="background1" w:themeShade="80"/>
              <w:sz w:val="18"/>
            </w:rPr>
            <w:t xml:space="preserve">Double click </w:t>
          </w:r>
          <w:r w:rsidRPr="00D414A7">
            <w:rPr>
              <w:color w:val="0000FF"/>
              <w:sz w:val="18"/>
            </w:rPr>
            <w:t>here</w:t>
          </w:r>
          <w:r w:rsidRPr="00D414A7">
            <w:rPr>
              <w:color w:val="808080" w:themeColor="background1" w:themeShade="80"/>
              <w:sz w:val="18"/>
            </w:rPr>
            <w:t xml:space="preserve"> to insert your organization’s name or logo.</w:t>
          </w:r>
        </w:p>
      </w:tc>
      <w:tc>
        <w:tcPr>
          <w:tcW w:w="10915" w:type="dxa"/>
          <w:vAlign w:val="center"/>
        </w:tcPr>
        <w:p w14:paraId="00D5F8DE" w14:textId="77777777" w:rsidR="0008701F" w:rsidRPr="001618E1" w:rsidRDefault="00A73540" w:rsidP="00434BCC">
          <w:pPr>
            <w:pStyle w:val="Header"/>
            <w:jc w:val="right"/>
            <w:rPr>
              <w:rStyle w:val="PageNumber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>Life-cycle</w:t>
          </w:r>
          <w:r w:rsidR="00B83272">
            <w:rPr>
              <w:rFonts w:ascii="Arial" w:hAnsi="Arial" w:cs="Arial"/>
              <w:b/>
              <w:sz w:val="36"/>
            </w:rPr>
            <w:t xml:space="preserve"> Analysis Template</w:t>
          </w:r>
        </w:p>
      </w:tc>
    </w:tr>
    <w:tr w:rsidR="0008701F" w:rsidRPr="001618E1" w14:paraId="607914B0" w14:textId="77777777" w:rsidTr="00287492">
      <w:trPr>
        <w:trHeight w:hRule="exact" w:val="424"/>
      </w:trPr>
      <w:tc>
        <w:tcPr>
          <w:tcW w:w="3544" w:type="dxa"/>
          <w:vMerge/>
          <w:vAlign w:val="center"/>
        </w:tcPr>
        <w:p w14:paraId="781F111A" w14:textId="77777777" w:rsidR="0008701F" w:rsidRPr="00745BBC" w:rsidRDefault="0008701F" w:rsidP="00434BCC">
          <w:pPr>
            <w:pStyle w:val="Footer"/>
          </w:pPr>
        </w:p>
      </w:tc>
      <w:tc>
        <w:tcPr>
          <w:tcW w:w="10915" w:type="dxa"/>
          <w:vAlign w:val="center"/>
        </w:tcPr>
        <w:p w14:paraId="5AE00DAA" w14:textId="77777777" w:rsidR="0008701F" w:rsidRPr="001618E1" w:rsidRDefault="0008701F" w:rsidP="00881B7E">
          <w:pPr>
            <w:pStyle w:val="Header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 xml:space="preserve">ISO </w:t>
          </w:r>
          <w:r w:rsidR="00881B7E">
            <w:rPr>
              <w:rFonts w:ascii="Arial" w:hAnsi="Arial" w:cs="Arial"/>
              <w:b/>
              <w:color w:val="808080" w:themeColor="background1" w:themeShade="80"/>
            </w:rPr>
            <w:t>14</w:t>
          </w:r>
          <w:r>
            <w:rPr>
              <w:rFonts w:ascii="Arial" w:hAnsi="Arial" w:cs="Arial"/>
              <w:b/>
              <w:color w:val="808080" w:themeColor="background1" w:themeShade="80"/>
            </w:rPr>
            <w:t>001:2015</w:t>
          </w:r>
          <w:r w:rsidR="004C28BC">
            <w:rPr>
              <w:rFonts w:ascii="Arial" w:hAnsi="Arial" w:cs="Arial"/>
              <w:b/>
              <w:color w:val="808080" w:themeColor="background1" w:themeShade="80"/>
            </w:rPr>
            <w:t xml:space="preserve"> EMS</w:t>
          </w:r>
        </w:p>
      </w:tc>
    </w:tr>
  </w:tbl>
  <w:p w14:paraId="201B8D4A" w14:textId="77777777" w:rsidR="00D42F51" w:rsidRPr="00D42F51" w:rsidRDefault="00D42F51" w:rsidP="00D42F51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68DF" w14:textId="77777777" w:rsidR="000B1EA0" w:rsidRDefault="000B1EA0" w:rsidP="0009774A">
    <w:pPr>
      <w:jc w:val="center"/>
      <w:rPr>
        <w:lang w:val="en-US"/>
      </w:rPr>
    </w:pPr>
  </w:p>
  <w:p w14:paraId="577017F0" w14:textId="77777777" w:rsidR="000B1EA0" w:rsidRDefault="000B1EA0" w:rsidP="0009774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E22"/>
    <w:multiLevelType w:val="hybridMultilevel"/>
    <w:tmpl w:val="4168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501"/>
    <w:multiLevelType w:val="hybridMultilevel"/>
    <w:tmpl w:val="E456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6F69"/>
    <w:multiLevelType w:val="hybridMultilevel"/>
    <w:tmpl w:val="D3F04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5127"/>
    <w:multiLevelType w:val="hybridMultilevel"/>
    <w:tmpl w:val="D2DE4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56740"/>
    <w:multiLevelType w:val="hybridMultilevel"/>
    <w:tmpl w:val="BEF699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66022A"/>
    <w:multiLevelType w:val="hybridMultilevel"/>
    <w:tmpl w:val="E5A6AC36"/>
    <w:lvl w:ilvl="0" w:tplc="3A2AC85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DDB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065D"/>
    <w:multiLevelType w:val="hybridMultilevel"/>
    <w:tmpl w:val="AD1A4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3D6C"/>
    <w:multiLevelType w:val="hybridMultilevel"/>
    <w:tmpl w:val="51FCB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09ED"/>
    <w:multiLevelType w:val="hybridMultilevel"/>
    <w:tmpl w:val="E5A6AC36"/>
    <w:lvl w:ilvl="0" w:tplc="3A2AC85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7873"/>
    <w:multiLevelType w:val="hybridMultilevel"/>
    <w:tmpl w:val="5ADE8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13D0"/>
    <w:multiLevelType w:val="hybridMultilevel"/>
    <w:tmpl w:val="74D0F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E75"/>
    <w:multiLevelType w:val="hybridMultilevel"/>
    <w:tmpl w:val="4ED0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3437E"/>
    <w:multiLevelType w:val="hybridMultilevel"/>
    <w:tmpl w:val="FE1AD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7345"/>
    <w:multiLevelType w:val="hybridMultilevel"/>
    <w:tmpl w:val="D2DE4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788A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F0A9B"/>
    <w:multiLevelType w:val="hybridMultilevel"/>
    <w:tmpl w:val="6D4ED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1552"/>
    <w:multiLevelType w:val="hybridMultilevel"/>
    <w:tmpl w:val="57C45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37769"/>
    <w:multiLevelType w:val="hybridMultilevel"/>
    <w:tmpl w:val="51FCB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0C95"/>
    <w:multiLevelType w:val="hybridMultilevel"/>
    <w:tmpl w:val="BAF87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7E9E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470FF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57C"/>
    <w:multiLevelType w:val="hybridMultilevel"/>
    <w:tmpl w:val="BFD263DA"/>
    <w:lvl w:ilvl="0" w:tplc="FC82A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5B25BB"/>
    <w:multiLevelType w:val="hybridMultilevel"/>
    <w:tmpl w:val="455EB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23"/>
  </w:num>
  <w:num w:numId="4">
    <w:abstractNumId w:val="17"/>
  </w:num>
  <w:num w:numId="5">
    <w:abstractNumId w:val="16"/>
  </w:num>
  <w:num w:numId="6">
    <w:abstractNumId w:val="21"/>
  </w:num>
  <w:num w:numId="7">
    <w:abstractNumId w:val="13"/>
  </w:num>
  <w:num w:numId="8">
    <w:abstractNumId w:val="7"/>
  </w:num>
  <w:num w:numId="9">
    <w:abstractNumId w:val="22"/>
  </w:num>
  <w:num w:numId="10">
    <w:abstractNumId w:val="18"/>
  </w:num>
  <w:num w:numId="11">
    <w:abstractNumId w:val="9"/>
  </w:num>
  <w:num w:numId="12">
    <w:abstractNumId w:val="19"/>
  </w:num>
  <w:num w:numId="13">
    <w:abstractNumId w:val="24"/>
  </w:num>
  <w:num w:numId="14">
    <w:abstractNumId w:val="20"/>
  </w:num>
  <w:num w:numId="15">
    <w:abstractNumId w:val="8"/>
  </w:num>
  <w:num w:numId="16">
    <w:abstractNumId w:val="11"/>
  </w:num>
  <w:num w:numId="17">
    <w:abstractNumId w:val="3"/>
  </w:num>
  <w:num w:numId="18">
    <w:abstractNumId w:val="12"/>
  </w:num>
  <w:num w:numId="19">
    <w:abstractNumId w:val="2"/>
  </w:num>
  <w:num w:numId="20">
    <w:abstractNumId w:val="1"/>
  </w:num>
  <w:num w:numId="21">
    <w:abstractNumId w:val="14"/>
  </w:num>
  <w:num w:numId="22">
    <w:abstractNumId w:val="15"/>
  </w:num>
  <w:num w:numId="23">
    <w:abstractNumId w:val="10"/>
  </w:num>
  <w:num w:numId="24">
    <w:abstractNumId w:val="4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48"/>
    <w:rsid w:val="000024B8"/>
    <w:rsid w:val="0001490D"/>
    <w:rsid w:val="000169E6"/>
    <w:rsid w:val="0002250F"/>
    <w:rsid w:val="00026B63"/>
    <w:rsid w:val="00031E89"/>
    <w:rsid w:val="00062DBC"/>
    <w:rsid w:val="00063D23"/>
    <w:rsid w:val="000670EE"/>
    <w:rsid w:val="00072033"/>
    <w:rsid w:val="00073EC2"/>
    <w:rsid w:val="0008701F"/>
    <w:rsid w:val="00090501"/>
    <w:rsid w:val="00091554"/>
    <w:rsid w:val="000967DD"/>
    <w:rsid w:val="0009774A"/>
    <w:rsid w:val="000A65A8"/>
    <w:rsid w:val="000A66CB"/>
    <w:rsid w:val="000B103B"/>
    <w:rsid w:val="000B1CE2"/>
    <w:rsid w:val="000B1EA0"/>
    <w:rsid w:val="000B25F5"/>
    <w:rsid w:val="000B4E51"/>
    <w:rsid w:val="000C59B0"/>
    <w:rsid w:val="000D155C"/>
    <w:rsid w:val="000D6611"/>
    <w:rsid w:val="000E17E5"/>
    <w:rsid w:val="000E5910"/>
    <w:rsid w:val="000F0F23"/>
    <w:rsid w:val="000F4252"/>
    <w:rsid w:val="00110770"/>
    <w:rsid w:val="001176F1"/>
    <w:rsid w:val="00124445"/>
    <w:rsid w:val="00126289"/>
    <w:rsid w:val="00135CEB"/>
    <w:rsid w:val="00136395"/>
    <w:rsid w:val="0013726F"/>
    <w:rsid w:val="00144587"/>
    <w:rsid w:val="00146FF2"/>
    <w:rsid w:val="001471BE"/>
    <w:rsid w:val="00153CB4"/>
    <w:rsid w:val="001554FC"/>
    <w:rsid w:val="00156733"/>
    <w:rsid w:val="00157D6E"/>
    <w:rsid w:val="0016566B"/>
    <w:rsid w:val="00165C74"/>
    <w:rsid w:val="00174B1B"/>
    <w:rsid w:val="00175C34"/>
    <w:rsid w:val="00186126"/>
    <w:rsid w:val="001940D9"/>
    <w:rsid w:val="001A053A"/>
    <w:rsid w:val="001A3FA5"/>
    <w:rsid w:val="001A752E"/>
    <w:rsid w:val="001B3CCB"/>
    <w:rsid w:val="001C73A3"/>
    <w:rsid w:val="001D64EE"/>
    <w:rsid w:val="001D7C8F"/>
    <w:rsid w:val="001E0B27"/>
    <w:rsid w:val="001E1844"/>
    <w:rsid w:val="001E4B6F"/>
    <w:rsid w:val="001E66A0"/>
    <w:rsid w:val="001E7A81"/>
    <w:rsid w:val="001F4FAB"/>
    <w:rsid w:val="001F55A9"/>
    <w:rsid w:val="001F7562"/>
    <w:rsid w:val="00200795"/>
    <w:rsid w:val="0021481B"/>
    <w:rsid w:val="00215E01"/>
    <w:rsid w:val="00231A34"/>
    <w:rsid w:val="0023217C"/>
    <w:rsid w:val="00241542"/>
    <w:rsid w:val="002421EE"/>
    <w:rsid w:val="002449CA"/>
    <w:rsid w:val="00244D0A"/>
    <w:rsid w:val="00250FAA"/>
    <w:rsid w:val="00251718"/>
    <w:rsid w:val="00256EB1"/>
    <w:rsid w:val="00261947"/>
    <w:rsid w:val="002640F0"/>
    <w:rsid w:val="00270352"/>
    <w:rsid w:val="002719F9"/>
    <w:rsid w:val="00282448"/>
    <w:rsid w:val="00283348"/>
    <w:rsid w:val="00287492"/>
    <w:rsid w:val="002917B5"/>
    <w:rsid w:val="002A5720"/>
    <w:rsid w:val="002A5A36"/>
    <w:rsid w:val="002C264F"/>
    <w:rsid w:val="002C3DA3"/>
    <w:rsid w:val="002C6724"/>
    <w:rsid w:val="002D2835"/>
    <w:rsid w:val="002D4016"/>
    <w:rsid w:val="00300398"/>
    <w:rsid w:val="00305744"/>
    <w:rsid w:val="003059C8"/>
    <w:rsid w:val="00307456"/>
    <w:rsid w:val="00313A07"/>
    <w:rsid w:val="0031680C"/>
    <w:rsid w:val="00324671"/>
    <w:rsid w:val="00352C1D"/>
    <w:rsid w:val="0036249B"/>
    <w:rsid w:val="00367195"/>
    <w:rsid w:val="00371B3A"/>
    <w:rsid w:val="00373995"/>
    <w:rsid w:val="0038425B"/>
    <w:rsid w:val="003904A3"/>
    <w:rsid w:val="003914F7"/>
    <w:rsid w:val="00394791"/>
    <w:rsid w:val="003953EE"/>
    <w:rsid w:val="00395C24"/>
    <w:rsid w:val="003A0B48"/>
    <w:rsid w:val="003A1523"/>
    <w:rsid w:val="003A2BD1"/>
    <w:rsid w:val="003A3019"/>
    <w:rsid w:val="003A3616"/>
    <w:rsid w:val="003A71FA"/>
    <w:rsid w:val="003B498A"/>
    <w:rsid w:val="003B5E1F"/>
    <w:rsid w:val="003D357F"/>
    <w:rsid w:val="003D4A46"/>
    <w:rsid w:val="003E0BA0"/>
    <w:rsid w:val="003F63E5"/>
    <w:rsid w:val="003F641E"/>
    <w:rsid w:val="003F6C79"/>
    <w:rsid w:val="00400752"/>
    <w:rsid w:val="00410199"/>
    <w:rsid w:val="00411955"/>
    <w:rsid w:val="00417095"/>
    <w:rsid w:val="00430BF9"/>
    <w:rsid w:val="004328BD"/>
    <w:rsid w:val="004421C9"/>
    <w:rsid w:val="00452D7C"/>
    <w:rsid w:val="00461D04"/>
    <w:rsid w:val="004645E1"/>
    <w:rsid w:val="00470C0C"/>
    <w:rsid w:val="004838BA"/>
    <w:rsid w:val="00491D30"/>
    <w:rsid w:val="004A0B29"/>
    <w:rsid w:val="004A5FF0"/>
    <w:rsid w:val="004A7069"/>
    <w:rsid w:val="004B5D2F"/>
    <w:rsid w:val="004C0B9C"/>
    <w:rsid w:val="004C28BC"/>
    <w:rsid w:val="004C3064"/>
    <w:rsid w:val="004C4E10"/>
    <w:rsid w:val="004C7CB5"/>
    <w:rsid w:val="004D0685"/>
    <w:rsid w:val="004D38F3"/>
    <w:rsid w:val="004D5B92"/>
    <w:rsid w:val="004E28F8"/>
    <w:rsid w:val="004F05C4"/>
    <w:rsid w:val="004F5B14"/>
    <w:rsid w:val="004F7EE0"/>
    <w:rsid w:val="00500C8C"/>
    <w:rsid w:val="00501C31"/>
    <w:rsid w:val="00510B1D"/>
    <w:rsid w:val="0051391B"/>
    <w:rsid w:val="00514651"/>
    <w:rsid w:val="00515469"/>
    <w:rsid w:val="00523267"/>
    <w:rsid w:val="005276CE"/>
    <w:rsid w:val="00534D7D"/>
    <w:rsid w:val="00546BBF"/>
    <w:rsid w:val="005502A8"/>
    <w:rsid w:val="00563B0A"/>
    <w:rsid w:val="00571426"/>
    <w:rsid w:val="00576B1B"/>
    <w:rsid w:val="005818E0"/>
    <w:rsid w:val="005A1370"/>
    <w:rsid w:val="005A545B"/>
    <w:rsid w:val="005A7F88"/>
    <w:rsid w:val="005B0D65"/>
    <w:rsid w:val="005C1C14"/>
    <w:rsid w:val="005C525E"/>
    <w:rsid w:val="005E1C07"/>
    <w:rsid w:val="005E7872"/>
    <w:rsid w:val="005F5CE7"/>
    <w:rsid w:val="005F775D"/>
    <w:rsid w:val="006125DC"/>
    <w:rsid w:val="00616549"/>
    <w:rsid w:val="006238E8"/>
    <w:rsid w:val="00626B92"/>
    <w:rsid w:val="00631B84"/>
    <w:rsid w:val="00640782"/>
    <w:rsid w:val="00652B36"/>
    <w:rsid w:val="006602C0"/>
    <w:rsid w:val="0066093A"/>
    <w:rsid w:val="006631CB"/>
    <w:rsid w:val="00663B94"/>
    <w:rsid w:val="00665435"/>
    <w:rsid w:val="006835E1"/>
    <w:rsid w:val="00694CE7"/>
    <w:rsid w:val="00696412"/>
    <w:rsid w:val="006A07B7"/>
    <w:rsid w:val="006A081C"/>
    <w:rsid w:val="006A295D"/>
    <w:rsid w:val="006B0D68"/>
    <w:rsid w:val="006B123F"/>
    <w:rsid w:val="006B5769"/>
    <w:rsid w:val="006B6E9A"/>
    <w:rsid w:val="006C5F49"/>
    <w:rsid w:val="006C7C63"/>
    <w:rsid w:val="006D288C"/>
    <w:rsid w:val="006D73FE"/>
    <w:rsid w:val="00702EC9"/>
    <w:rsid w:val="007157BA"/>
    <w:rsid w:val="00720A0C"/>
    <w:rsid w:val="00726C75"/>
    <w:rsid w:val="00737F82"/>
    <w:rsid w:val="00745AEF"/>
    <w:rsid w:val="007548E4"/>
    <w:rsid w:val="00757DA7"/>
    <w:rsid w:val="00771D1B"/>
    <w:rsid w:val="00776B6C"/>
    <w:rsid w:val="00780A85"/>
    <w:rsid w:val="00780FCF"/>
    <w:rsid w:val="00784EC6"/>
    <w:rsid w:val="00785B7A"/>
    <w:rsid w:val="00787D56"/>
    <w:rsid w:val="0079254C"/>
    <w:rsid w:val="0079513F"/>
    <w:rsid w:val="00797A93"/>
    <w:rsid w:val="007A4DDD"/>
    <w:rsid w:val="007B322E"/>
    <w:rsid w:val="007B57F4"/>
    <w:rsid w:val="007D15EB"/>
    <w:rsid w:val="007D2261"/>
    <w:rsid w:val="007D490B"/>
    <w:rsid w:val="007D5433"/>
    <w:rsid w:val="007D7DBE"/>
    <w:rsid w:val="007E4836"/>
    <w:rsid w:val="007E7B8E"/>
    <w:rsid w:val="007F203B"/>
    <w:rsid w:val="007F6EA4"/>
    <w:rsid w:val="008318D1"/>
    <w:rsid w:val="008340A1"/>
    <w:rsid w:val="00837C92"/>
    <w:rsid w:val="00844E9E"/>
    <w:rsid w:val="00852F01"/>
    <w:rsid w:val="008722BF"/>
    <w:rsid w:val="00881B7E"/>
    <w:rsid w:val="00895BCA"/>
    <w:rsid w:val="00896DD0"/>
    <w:rsid w:val="008C0BC3"/>
    <w:rsid w:val="008D4CF1"/>
    <w:rsid w:val="008F0BC0"/>
    <w:rsid w:val="008F3B07"/>
    <w:rsid w:val="008F4A3D"/>
    <w:rsid w:val="008F4D6B"/>
    <w:rsid w:val="008F5FC1"/>
    <w:rsid w:val="009026CC"/>
    <w:rsid w:val="00903842"/>
    <w:rsid w:val="00906179"/>
    <w:rsid w:val="0090758E"/>
    <w:rsid w:val="0091125B"/>
    <w:rsid w:val="00920280"/>
    <w:rsid w:val="0092315A"/>
    <w:rsid w:val="00925BEC"/>
    <w:rsid w:val="00926FA5"/>
    <w:rsid w:val="00932F39"/>
    <w:rsid w:val="00942307"/>
    <w:rsid w:val="009475C9"/>
    <w:rsid w:val="00951BBB"/>
    <w:rsid w:val="00952579"/>
    <w:rsid w:val="00952A3C"/>
    <w:rsid w:val="00960953"/>
    <w:rsid w:val="00962397"/>
    <w:rsid w:val="00964088"/>
    <w:rsid w:val="009641E6"/>
    <w:rsid w:val="00965C3F"/>
    <w:rsid w:val="00966722"/>
    <w:rsid w:val="009675CB"/>
    <w:rsid w:val="00981DC9"/>
    <w:rsid w:val="00984681"/>
    <w:rsid w:val="00986BCC"/>
    <w:rsid w:val="00987901"/>
    <w:rsid w:val="00993A75"/>
    <w:rsid w:val="0099733D"/>
    <w:rsid w:val="009A0CDF"/>
    <w:rsid w:val="009A2DD5"/>
    <w:rsid w:val="009B79DD"/>
    <w:rsid w:val="009C0423"/>
    <w:rsid w:val="009C68BA"/>
    <w:rsid w:val="009D5AD6"/>
    <w:rsid w:val="009E39D1"/>
    <w:rsid w:val="009F051F"/>
    <w:rsid w:val="009F1326"/>
    <w:rsid w:val="009F3348"/>
    <w:rsid w:val="00A02696"/>
    <w:rsid w:val="00A13A80"/>
    <w:rsid w:val="00A15FFD"/>
    <w:rsid w:val="00A177C1"/>
    <w:rsid w:val="00A24025"/>
    <w:rsid w:val="00A26503"/>
    <w:rsid w:val="00A27528"/>
    <w:rsid w:val="00A30FC1"/>
    <w:rsid w:val="00A33BD6"/>
    <w:rsid w:val="00A50A23"/>
    <w:rsid w:val="00A61962"/>
    <w:rsid w:val="00A66E56"/>
    <w:rsid w:val="00A70C3C"/>
    <w:rsid w:val="00A719DA"/>
    <w:rsid w:val="00A73047"/>
    <w:rsid w:val="00A73540"/>
    <w:rsid w:val="00A73C55"/>
    <w:rsid w:val="00A76BDF"/>
    <w:rsid w:val="00A823E1"/>
    <w:rsid w:val="00A868ED"/>
    <w:rsid w:val="00A93240"/>
    <w:rsid w:val="00A9451E"/>
    <w:rsid w:val="00AA1391"/>
    <w:rsid w:val="00AA1503"/>
    <w:rsid w:val="00AA406F"/>
    <w:rsid w:val="00AA7779"/>
    <w:rsid w:val="00AB6F6C"/>
    <w:rsid w:val="00AC3AE8"/>
    <w:rsid w:val="00AD1F79"/>
    <w:rsid w:val="00AE5062"/>
    <w:rsid w:val="00AE77C8"/>
    <w:rsid w:val="00B00431"/>
    <w:rsid w:val="00B033AA"/>
    <w:rsid w:val="00B069F2"/>
    <w:rsid w:val="00B06C7A"/>
    <w:rsid w:val="00B07306"/>
    <w:rsid w:val="00B07FEB"/>
    <w:rsid w:val="00B3367D"/>
    <w:rsid w:val="00B33863"/>
    <w:rsid w:val="00B35D95"/>
    <w:rsid w:val="00B36A98"/>
    <w:rsid w:val="00B37B73"/>
    <w:rsid w:val="00B41D6A"/>
    <w:rsid w:val="00B56793"/>
    <w:rsid w:val="00B633ED"/>
    <w:rsid w:val="00B6675B"/>
    <w:rsid w:val="00B7524E"/>
    <w:rsid w:val="00B75BF1"/>
    <w:rsid w:val="00B82701"/>
    <w:rsid w:val="00B83272"/>
    <w:rsid w:val="00B85E25"/>
    <w:rsid w:val="00B9023F"/>
    <w:rsid w:val="00B90CC1"/>
    <w:rsid w:val="00BA15A8"/>
    <w:rsid w:val="00BA4FE4"/>
    <w:rsid w:val="00BC58B3"/>
    <w:rsid w:val="00BD22E1"/>
    <w:rsid w:val="00BD3E97"/>
    <w:rsid w:val="00BD78DD"/>
    <w:rsid w:val="00BD7BD1"/>
    <w:rsid w:val="00BE1D91"/>
    <w:rsid w:val="00BF27B4"/>
    <w:rsid w:val="00C036F3"/>
    <w:rsid w:val="00C03C05"/>
    <w:rsid w:val="00C2368A"/>
    <w:rsid w:val="00C26166"/>
    <w:rsid w:val="00C30B08"/>
    <w:rsid w:val="00C31092"/>
    <w:rsid w:val="00C3155D"/>
    <w:rsid w:val="00C44181"/>
    <w:rsid w:val="00C45B00"/>
    <w:rsid w:val="00C50127"/>
    <w:rsid w:val="00C53099"/>
    <w:rsid w:val="00C62079"/>
    <w:rsid w:val="00C64BB0"/>
    <w:rsid w:val="00C6559C"/>
    <w:rsid w:val="00C66821"/>
    <w:rsid w:val="00C7640F"/>
    <w:rsid w:val="00C81953"/>
    <w:rsid w:val="00C85F6A"/>
    <w:rsid w:val="00C8780A"/>
    <w:rsid w:val="00CA48E3"/>
    <w:rsid w:val="00CA5D4A"/>
    <w:rsid w:val="00CB156F"/>
    <w:rsid w:val="00CB1846"/>
    <w:rsid w:val="00CB40F4"/>
    <w:rsid w:val="00CB5C2B"/>
    <w:rsid w:val="00CC1B4C"/>
    <w:rsid w:val="00CE53BC"/>
    <w:rsid w:val="00CF11FB"/>
    <w:rsid w:val="00CF557C"/>
    <w:rsid w:val="00D00FF6"/>
    <w:rsid w:val="00D03C38"/>
    <w:rsid w:val="00D04347"/>
    <w:rsid w:val="00D04DE9"/>
    <w:rsid w:val="00D07852"/>
    <w:rsid w:val="00D17227"/>
    <w:rsid w:val="00D2112D"/>
    <w:rsid w:val="00D26F82"/>
    <w:rsid w:val="00D27216"/>
    <w:rsid w:val="00D305A1"/>
    <w:rsid w:val="00D3061B"/>
    <w:rsid w:val="00D314D7"/>
    <w:rsid w:val="00D31D48"/>
    <w:rsid w:val="00D32FC7"/>
    <w:rsid w:val="00D42F51"/>
    <w:rsid w:val="00D45EB2"/>
    <w:rsid w:val="00D62F22"/>
    <w:rsid w:val="00D66204"/>
    <w:rsid w:val="00D6736D"/>
    <w:rsid w:val="00D70F0A"/>
    <w:rsid w:val="00D71248"/>
    <w:rsid w:val="00D74E89"/>
    <w:rsid w:val="00D80F44"/>
    <w:rsid w:val="00D84D7B"/>
    <w:rsid w:val="00D878CE"/>
    <w:rsid w:val="00D878E4"/>
    <w:rsid w:val="00D93C9D"/>
    <w:rsid w:val="00D940F7"/>
    <w:rsid w:val="00D956C0"/>
    <w:rsid w:val="00DA544C"/>
    <w:rsid w:val="00DA5E78"/>
    <w:rsid w:val="00DB4920"/>
    <w:rsid w:val="00DB754E"/>
    <w:rsid w:val="00DC0488"/>
    <w:rsid w:val="00DC2435"/>
    <w:rsid w:val="00DD3F40"/>
    <w:rsid w:val="00DD4683"/>
    <w:rsid w:val="00DE2756"/>
    <w:rsid w:val="00DF160C"/>
    <w:rsid w:val="00DF2A94"/>
    <w:rsid w:val="00DF49A1"/>
    <w:rsid w:val="00DF5793"/>
    <w:rsid w:val="00DF6FA4"/>
    <w:rsid w:val="00E0561F"/>
    <w:rsid w:val="00E05A7C"/>
    <w:rsid w:val="00E10A6E"/>
    <w:rsid w:val="00E11155"/>
    <w:rsid w:val="00E16787"/>
    <w:rsid w:val="00E4084B"/>
    <w:rsid w:val="00E44850"/>
    <w:rsid w:val="00E47EEE"/>
    <w:rsid w:val="00E51419"/>
    <w:rsid w:val="00E611EC"/>
    <w:rsid w:val="00E62D97"/>
    <w:rsid w:val="00E75CB3"/>
    <w:rsid w:val="00E85158"/>
    <w:rsid w:val="00E87B9E"/>
    <w:rsid w:val="00E918DE"/>
    <w:rsid w:val="00E935AE"/>
    <w:rsid w:val="00E947DA"/>
    <w:rsid w:val="00EA1DA2"/>
    <w:rsid w:val="00EA34F6"/>
    <w:rsid w:val="00EA5DF3"/>
    <w:rsid w:val="00EB1CD0"/>
    <w:rsid w:val="00EC51D9"/>
    <w:rsid w:val="00ED08F3"/>
    <w:rsid w:val="00ED3C93"/>
    <w:rsid w:val="00ED5D56"/>
    <w:rsid w:val="00EE1C03"/>
    <w:rsid w:val="00EE24AD"/>
    <w:rsid w:val="00EE2C4F"/>
    <w:rsid w:val="00EE6552"/>
    <w:rsid w:val="00F13885"/>
    <w:rsid w:val="00F15768"/>
    <w:rsid w:val="00F23216"/>
    <w:rsid w:val="00F23B8C"/>
    <w:rsid w:val="00F26543"/>
    <w:rsid w:val="00F35A1D"/>
    <w:rsid w:val="00F455C1"/>
    <w:rsid w:val="00F47834"/>
    <w:rsid w:val="00F821A8"/>
    <w:rsid w:val="00F86324"/>
    <w:rsid w:val="00F875DB"/>
    <w:rsid w:val="00F96EF5"/>
    <w:rsid w:val="00FA3990"/>
    <w:rsid w:val="00FA3D1D"/>
    <w:rsid w:val="00FA5B31"/>
    <w:rsid w:val="00FA62A8"/>
    <w:rsid w:val="00FC02F5"/>
    <w:rsid w:val="00FC765C"/>
    <w:rsid w:val="00FD3794"/>
    <w:rsid w:val="00FD39D9"/>
    <w:rsid w:val="00FD6642"/>
    <w:rsid w:val="00FF021A"/>
    <w:rsid w:val="00FF3FF8"/>
    <w:rsid w:val="00FF563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CA828"/>
  <w15:docId w15:val="{B2D4A041-020F-47BD-B077-F567CC4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D56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F82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lang w:val="en-US" w:eastAsia="en-US"/>
    </w:rPr>
  </w:style>
  <w:style w:type="paragraph" w:styleId="Heading2">
    <w:name w:val="heading 2"/>
    <w:basedOn w:val="Normal"/>
    <w:next w:val="Normal"/>
    <w:qFormat/>
    <w:rsid w:val="00EC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51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33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2A5A36"/>
  </w:style>
  <w:style w:type="paragraph" w:styleId="BodyTextIndent">
    <w:name w:val="Body Text Indent"/>
    <w:basedOn w:val="Normal"/>
    <w:rsid w:val="00F13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rFonts w:ascii="Tms Rmn" w:hAnsi="Tms Rmn"/>
      <w:lang w:val="en-US"/>
    </w:rPr>
  </w:style>
  <w:style w:type="paragraph" w:styleId="BodyText">
    <w:name w:val="Body Text"/>
    <w:basedOn w:val="Normal"/>
    <w:rsid w:val="006631CB"/>
    <w:pPr>
      <w:spacing w:after="120"/>
    </w:pPr>
  </w:style>
  <w:style w:type="paragraph" w:styleId="DocumentMap">
    <w:name w:val="Document Map"/>
    <w:basedOn w:val="Normal"/>
    <w:semiHidden/>
    <w:rsid w:val="00D32FC7"/>
    <w:pPr>
      <w:shd w:val="clear" w:color="auto" w:fill="000080"/>
    </w:pPr>
    <w:rPr>
      <w:rFonts w:cs="Tahoma"/>
      <w:sz w:val="20"/>
    </w:rPr>
  </w:style>
  <w:style w:type="paragraph" w:styleId="TOC1">
    <w:name w:val="toc 1"/>
    <w:basedOn w:val="Normal"/>
    <w:next w:val="Normal"/>
    <w:autoRedefine/>
    <w:semiHidden/>
    <w:rsid w:val="00785B7A"/>
    <w:pPr>
      <w:tabs>
        <w:tab w:val="left" w:pos="480"/>
        <w:tab w:val="right" w:leader="dot" w:pos="8460"/>
      </w:tabs>
      <w:spacing w:before="120" w:after="120" w:line="360" w:lineRule="auto"/>
      <w:ind w:right="-52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785B7A"/>
    <w:pPr>
      <w:tabs>
        <w:tab w:val="left" w:pos="960"/>
        <w:tab w:val="right" w:leader="dot" w:pos="8460"/>
      </w:tabs>
      <w:spacing w:line="360" w:lineRule="auto"/>
      <w:ind w:left="240" w:right="-52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785B7A"/>
    <w:pPr>
      <w:tabs>
        <w:tab w:val="left" w:pos="1200"/>
        <w:tab w:val="right" w:leader="dot" w:pos="8460"/>
      </w:tabs>
      <w:spacing w:line="360" w:lineRule="auto"/>
      <w:ind w:left="480" w:right="-52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E51419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51419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51419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51419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51419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51419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E51419"/>
    <w:rPr>
      <w:color w:val="0000FF"/>
      <w:u w:val="single"/>
    </w:rPr>
  </w:style>
  <w:style w:type="character" w:styleId="PageNumber">
    <w:name w:val="page number"/>
    <w:basedOn w:val="DefaultParagraphFont"/>
    <w:rsid w:val="00D3061B"/>
  </w:style>
  <w:style w:type="paragraph" w:styleId="NormalWeb">
    <w:name w:val="Normal (Web)"/>
    <w:basedOn w:val="Normal"/>
    <w:rsid w:val="00394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645E1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customStyle="1" w:styleId="Level1">
    <w:name w:val="Level 1"/>
    <w:basedOn w:val="Normal"/>
    <w:rsid w:val="009E39D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E39D1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701F"/>
    <w:rPr>
      <w:rFonts w:ascii="Tahoma" w:hAnsi="Tahom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8701F"/>
    <w:rPr>
      <w:rFonts w:ascii="Tahoma" w:hAnsi="Tahoma"/>
      <w:sz w:val="24"/>
    </w:rPr>
  </w:style>
  <w:style w:type="paragraph" w:customStyle="1" w:styleId="TableText">
    <w:name w:val="Table Text"/>
    <w:basedOn w:val="Normal"/>
    <w:rsid w:val="00B83272"/>
    <w:pPr>
      <w:jc w:val="center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B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6E90-80D9-4320-890E-0C2DB3C1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PESTLE Analysis Template</vt:lpstr>
    </vt:vector>
  </TitlesOfParts>
  <Company>vcnet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PESTLE Analysis Template</dc:title>
  <dc:creator>Dicky</dc:creator>
  <cp:lastModifiedBy>Dicky</cp:lastModifiedBy>
  <cp:revision>3</cp:revision>
  <cp:lastPrinted>2009-06-29T14:18:00Z</cp:lastPrinted>
  <dcterms:created xsi:type="dcterms:W3CDTF">2017-10-10T12:30:00Z</dcterms:created>
  <dcterms:modified xsi:type="dcterms:W3CDTF">2018-02-23T12:03:00Z</dcterms:modified>
</cp:coreProperties>
</file>